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××单位2025年国有</w:t>
      </w:r>
      <w:r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资产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清查</w:t>
      </w:r>
      <w:r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盘点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报告</w:t>
      </w:r>
      <w:r>
        <w:rPr>
          <w:rFonts w:hint="default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 w:bidi="ar"/>
        </w:rPr>
        <w:t>（模板）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1.本单位若有盘盈（有物无账）、盘亏（有账无物）资产需要另附清单，并说明原因；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2.相关领用人、存放地不一致的是否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在系统中更改；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资产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标签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缺失的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是否已补充粘贴；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3.需要说明的其他盘点问题。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tabs>
          <w:tab w:val="left" w:pos="8460"/>
        </w:tabs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清查盘点中如无问题的单位，需零报告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。纸质版4月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日前上交至公共事务管理处（明达楼205室）；电子文档浙政钉发送至公共事务管理处 王远峰。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default" w:asciiTheme="minorEastAsia" w:hAnsiTheme="minorEastAsia" w:eastAsiaTheme="minorEastAsia" w:cstheme="minorEastAsia"/>
          <w:color w:val="0000FF"/>
          <w:kern w:val="2"/>
          <w:sz w:val="28"/>
          <w:szCs w:val="28"/>
          <w:highlight w:val="none"/>
          <w:lang w:val="en-US" w:eastAsia="zh-CN" w:bidi="ar-SA"/>
        </w:rPr>
      </w:pPr>
    </w:p>
    <w:p/>
    <w:p/>
    <w:p/>
    <w:p/>
    <w:p/>
    <w:p/>
    <w:p/>
    <w:p/>
    <w:p/>
    <w:p/>
    <w:p/>
    <w:p>
      <w:pPr>
        <w:sectPr>
          <w:headerReference r:id="rId5" w:type="default"/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tbl>
      <w:tblPr>
        <w:tblStyle w:val="7"/>
        <w:tblW w:w="14505" w:type="dxa"/>
        <w:tblInd w:w="-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0"/>
        <w:gridCol w:w="1048"/>
        <w:gridCol w:w="1207"/>
        <w:gridCol w:w="1088"/>
        <w:gridCol w:w="1292"/>
        <w:gridCol w:w="1080"/>
        <w:gridCol w:w="1080"/>
        <w:gridCol w:w="1110"/>
        <w:gridCol w:w="1080"/>
        <w:gridCol w:w="16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类别（盘盈/盘亏）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型号、品牌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数量(台/件)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盘亏/盘盈情况（原因）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Theme="minorEastAsia"/>
        <w:b/>
        <w:bCs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7577"/>
    <w:rsid w:val="0DA160B3"/>
    <w:rsid w:val="10105769"/>
    <w:rsid w:val="148065D9"/>
    <w:rsid w:val="177E596D"/>
    <w:rsid w:val="1B4A3BEF"/>
    <w:rsid w:val="1F600B6C"/>
    <w:rsid w:val="59382A7D"/>
    <w:rsid w:val="62C75BEE"/>
    <w:rsid w:val="72E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2024-03-11T02:51:00Z</dcterms:created>
  <dc:creator>user</dc:creator>
  <cp:lastModifiedBy>铭泽141913</cp:lastModifiedBy>
  <dcterms:modified xsi:type="dcterms:W3CDTF">2025-03-04T07:47:46Z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